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247" w:rsidRPr="00B80247" w:rsidRDefault="00B80247" w:rsidP="00B8024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B80247">
        <w:rPr>
          <w:rFonts w:ascii="Times New Roman" w:eastAsia="Times New Roman" w:hAnsi="Times New Roman" w:cs="Times New Roman"/>
          <w:lang w:eastAsia="es-ES_tradnl"/>
        </w:rPr>
        <w:t xml:space="preserve">El contenido de la hoja muestra información clave del proyecto </w:t>
      </w: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“Agáchate Godoy”</w:t>
      </w:r>
      <w:r w:rsidRPr="00B80247">
        <w:rPr>
          <w:rFonts w:ascii="Times New Roman" w:eastAsia="Times New Roman" w:hAnsi="Times New Roman" w:cs="Times New Roman"/>
          <w:lang w:eastAsia="es-ES_tradnl"/>
        </w:rPr>
        <w:t xml:space="preserve"> financiado por el </w:t>
      </w: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Fondo CNTV 2021</w:t>
      </w:r>
      <w:r w:rsidRPr="00B80247">
        <w:rPr>
          <w:rFonts w:ascii="Times New Roman" w:eastAsia="Times New Roman" w:hAnsi="Times New Roman" w:cs="Times New Roman"/>
          <w:lang w:eastAsia="es-ES_tradnl"/>
        </w:rPr>
        <w:t>, incluyendo:</w:t>
      </w:r>
    </w:p>
    <w:p w:rsidR="00B80247" w:rsidRPr="00B80247" w:rsidRDefault="00B80247" w:rsidP="00B802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Presupuesto adjudicado:</w:t>
      </w:r>
      <w:r w:rsidRPr="00B80247">
        <w:rPr>
          <w:rFonts w:ascii="Times New Roman" w:eastAsia="Times New Roman" w:hAnsi="Times New Roman" w:cs="Times New Roman"/>
          <w:lang w:eastAsia="es-ES_tradnl"/>
        </w:rPr>
        <w:t xml:space="preserve"> $311.917.655 CLP</w:t>
      </w:r>
    </w:p>
    <w:p w:rsidR="00B80247" w:rsidRPr="00B80247" w:rsidRDefault="00B80247" w:rsidP="00B802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Convenio:</w:t>
      </w:r>
      <w:r w:rsidRPr="00B80247">
        <w:rPr>
          <w:rFonts w:ascii="Times New Roman" w:eastAsia="Times New Roman" w:hAnsi="Times New Roman" w:cs="Times New Roman"/>
          <w:lang w:eastAsia="es-ES_tradnl"/>
        </w:rPr>
        <w:t xml:space="preserve"> Resolución Exenta CNTV </w:t>
      </w:r>
      <w:proofErr w:type="spellStart"/>
      <w:r w:rsidRPr="00B80247">
        <w:rPr>
          <w:rFonts w:ascii="Times New Roman" w:eastAsia="Times New Roman" w:hAnsi="Times New Roman" w:cs="Times New Roman"/>
          <w:lang w:eastAsia="es-ES_tradnl"/>
        </w:rPr>
        <w:t>N°</w:t>
      </w:r>
      <w:proofErr w:type="spellEnd"/>
      <w:r w:rsidRPr="00B80247">
        <w:rPr>
          <w:rFonts w:ascii="Times New Roman" w:eastAsia="Times New Roman" w:hAnsi="Times New Roman" w:cs="Times New Roman"/>
          <w:lang w:eastAsia="es-ES_tradnl"/>
        </w:rPr>
        <w:t xml:space="preserve"> 1145 de 2021</w:t>
      </w:r>
    </w:p>
    <w:p w:rsidR="00B80247" w:rsidRPr="00B80247" w:rsidRDefault="00B80247" w:rsidP="00B8024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Responsables:</w:t>
      </w:r>
      <w:r w:rsidRPr="00B80247">
        <w:rPr>
          <w:rFonts w:ascii="Times New Roman" w:eastAsia="Times New Roman" w:hAnsi="Times New Roman" w:cs="Times New Roman"/>
          <w:lang w:eastAsia="es-ES_tradnl"/>
        </w:rPr>
        <w:t xml:space="preserve"> Director, Administrador, Representante Legal y Socio único: Max Alejandro Gandarillas Henríquez</w:t>
      </w:r>
    </w:p>
    <w:p w:rsidR="00B80247" w:rsidRPr="00B80247" w:rsidRDefault="00B645B6" w:rsidP="00B80247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pict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:rsidR="00B80247" w:rsidRPr="00B80247" w:rsidRDefault="00B80247" w:rsidP="00B802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B8024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Proyecto Adjudicado: Serie “Agáchate Godoy”</w:t>
      </w:r>
    </w:p>
    <w:p w:rsidR="00B80247" w:rsidRPr="00B80247" w:rsidRDefault="00B80247" w:rsidP="00B8024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B80247">
        <w:rPr>
          <w:rFonts w:ascii="Times New Roman" w:eastAsia="Times New Roman" w:hAnsi="Times New Roman" w:cs="Times New Roman"/>
          <w:lang w:eastAsia="es-ES_tradnl"/>
        </w:rPr>
        <w:t xml:space="preserve">En el marco del Fondo CNTV 2021, la empresa </w:t>
      </w: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Más al Sur</w:t>
      </w:r>
      <w:r w:rsidRPr="00B80247">
        <w:rPr>
          <w:rFonts w:ascii="Times New Roman" w:eastAsia="Times New Roman" w:hAnsi="Times New Roman" w:cs="Times New Roman"/>
          <w:lang w:eastAsia="es-ES_tradnl"/>
        </w:rPr>
        <w:t xml:space="preserve"> fue adjudicataria de un financiamiento por un monto total de </w:t>
      </w: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$311.917.655 CLP</w:t>
      </w:r>
      <w:r w:rsidRPr="00B80247">
        <w:rPr>
          <w:rFonts w:ascii="Times New Roman" w:eastAsia="Times New Roman" w:hAnsi="Times New Roman" w:cs="Times New Roman"/>
          <w:lang w:eastAsia="es-ES_tradnl"/>
        </w:rPr>
        <w:t xml:space="preserve">, destinado al desarrollo y producción de la serie documental </w:t>
      </w: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“Agáchate Godoy”</w:t>
      </w:r>
      <w:r w:rsidRPr="00B80247">
        <w:rPr>
          <w:rFonts w:ascii="Times New Roman" w:eastAsia="Times New Roman" w:hAnsi="Times New Roman" w:cs="Times New Roman"/>
          <w:lang w:eastAsia="es-ES_tradnl"/>
        </w:rPr>
        <w:t xml:space="preserve">. La aprobación se formalizó mediante la </w:t>
      </w: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 xml:space="preserve">Resolución Exenta CNTV </w:t>
      </w:r>
      <w:proofErr w:type="spellStart"/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N°</w:t>
      </w:r>
      <w:proofErr w:type="spellEnd"/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 xml:space="preserve"> 1145 de 2021</w:t>
      </w:r>
      <w:r w:rsidRPr="00B80247">
        <w:rPr>
          <w:rFonts w:ascii="Times New Roman" w:eastAsia="Times New Roman" w:hAnsi="Times New Roman" w:cs="Times New Roman"/>
          <w:lang w:eastAsia="es-ES_tradnl"/>
        </w:rPr>
        <w:t>.</w:t>
      </w:r>
    </w:p>
    <w:p w:rsidR="00B80247" w:rsidRDefault="00B80247" w:rsidP="00B8024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B80247">
        <w:rPr>
          <w:rFonts w:ascii="Times New Roman" w:eastAsia="Times New Roman" w:hAnsi="Times New Roman" w:cs="Times New Roman"/>
          <w:lang w:eastAsia="es-ES_tradnl"/>
        </w:rPr>
        <w:t xml:space="preserve">Este proyecto representa una apuesta por rescatar la memoria cultural y deportiva de Chile, a través de la historia de Arturo Godoy, un ícono del boxeo nacional. La producción fue encabezada por </w:t>
      </w:r>
      <w:r w:rsidRPr="00B80247">
        <w:rPr>
          <w:rFonts w:ascii="Times New Roman" w:eastAsia="Times New Roman" w:hAnsi="Times New Roman" w:cs="Times New Roman"/>
          <w:b/>
          <w:bCs/>
          <w:lang w:eastAsia="es-ES_tradnl"/>
        </w:rPr>
        <w:t>Max Alejandro Gandarillas Henríquez</w:t>
      </w:r>
      <w:r w:rsidRPr="00B80247">
        <w:rPr>
          <w:rFonts w:ascii="Times New Roman" w:eastAsia="Times New Roman" w:hAnsi="Times New Roman" w:cs="Times New Roman"/>
          <w:lang w:eastAsia="es-ES_tradnl"/>
        </w:rPr>
        <w:t>, quien asumió los roles de director, administrador, representante legal y socio único de la empresa.</w:t>
      </w:r>
    </w:p>
    <w:p w:rsidR="007701C6" w:rsidRPr="00B80247" w:rsidRDefault="007701C6" w:rsidP="00B8024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Se realizó la pre-producción en los meses de octubre y noviembre. El rodaje comenzó el 10 de noviembre y finalizó el 8 de diciembre de 2024, todo de manera satisfactoria. El proceso de montaje comenzó al finalizar el rodaje y se estima que realizará hasta el mes de marzo de 2025, mes en que comenzará la post-producción del proyecto.</w:t>
      </w:r>
    </w:p>
    <w:p w:rsidR="00B80247" w:rsidRPr="00B80247" w:rsidRDefault="00B645B6" w:rsidP="00B80247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B80247" w:rsidRPr="00B80247" w:rsidRDefault="00B80247" w:rsidP="00B8024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B80247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Resultados Financieros 2024</w:t>
      </w:r>
    </w:p>
    <w:p w:rsidR="00C77DED" w:rsidRDefault="00C77DED" w:rsidP="00C77DED">
      <w:pPr>
        <w:pStyle w:val="NormalWeb"/>
      </w:pPr>
      <w:r>
        <w:rPr>
          <w:rStyle w:val="Textoennegrita"/>
        </w:rPr>
        <w:t xml:space="preserve">Mas al Sur </w:t>
      </w:r>
      <w:proofErr w:type="spellStart"/>
      <w:r>
        <w:rPr>
          <w:rStyle w:val="Textoennegrita"/>
        </w:rPr>
        <w:t>SpA</w:t>
      </w:r>
      <w:proofErr w:type="spellEnd"/>
    </w:p>
    <w:p w:rsidR="00C77DED" w:rsidRDefault="00C77DED" w:rsidP="00C77DED">
      <w:pPr>
        <w:pStyle w:val="NormalWeb"/>
      </w:pPr>
      <w:r>
        <w:t xml:space="preserve">Durante el ejercicio 2024, </w:t>
      </w:r>
      <w:r>
        <w:rPr>
          <w:rStyle w:val="nfasis"/>
        </w:rPr>
        <w:t xml:space="preserve">Mas al Sur </w:t>
      </w:r>
      <w:proofErr w:type="spellStart"/>
      <w:r>
        <w:rPr>
          <w:rStyle w:val="nfasis"/>
        </w:rPr>
        <w:t>SpA</w:t>
      </w:r>
      <w:proofErr w:type="spellEnd"/>
      <w:r>
        <w:t xml:space="preserve"> enfrentó un año de intensa actividad operativa, marcado por la finalización de una importante producción audiovisual. La compañía generó ingresos por $229 millones, principalmente por concepto de </w:t>
      </w:r>
      <w:r>
        <w:rPr>
          <w:rStyle w:val="Textoennegrita"/>
        </w:rPr>
        <w:t>venta de licencia de película</w:t>
      </w:r>
      <w:r>
        <w:t xml:space="preserve"> y </w:t>
      </w:r>
      <w:r>
        <w:rPr>
          <w:rStyle w:val="Textoennegrita"/>
        </w:rPr>
        <w:t>producción ejecutiva</w:t>
      </w:r>
      <w:r>
        <w:t>.</w:t>
      </w:r>
    </w:p>
    <w:p w:rsidR="00C77DED" w:rsidRDefault="00C77DED" w:rsidP="00C77DED">
      <w:pPr>
        <w:pStyle w:val="NormalWeb"/>
      </w:pPr>
      <w:r>
        <w:t>El costo</w:t>
      </w:r>
      <w:r w:rsidR="007701C6">
        <w:t xml:space="preserve"> directo</w:t>
      </w:r>
      <w:r>
        <w:t xml:space="preserve"> de ventas ascendió a $238 millones, destacando inversiones significativas en </w:t>
      </w:r>
      <w:r>
        <w:rPr>
          <w:rStyle w:val="Textoennegrita"/>
        </w:rPr>
        <w:t>casting</w:t>
      </w:r>
      <w:r>
        <w:t xml:space="preserve">, </w:t>
      </w:r>
      <w:r>
        <w:rPr>
          <w:rStyle w:val="Textoennegrita"/>
        </w:rPr>
        <w:t>vestuario</w:t>
      </w:r>
      <w:r>
        <w:t xml:space="preserve">, </w:t>
      </w:r>
      <w:r>
        <w:rPr>
          <w:rStyle w:val="Textoennegrita"/>
        </w:rPr>
        <w:t>ambientación</w:t>
      </w:r>
      <w:r>
        <w:t xml:space="preserve">, y </w:t>
      </w:r>
      <w:r>
        <w:rPr>
          <w:rStyle w:val="Textoennegrita"/>
        </w:rPr>
        <w:t>logística de producción</w:t>
      </w:r>
      <w:r>
        <w:t>, reflejo del alto estándar de calidad buscado en nuestras realizaciones.</w:t>
      </w:r>
    </w:p>
    <w:p w:rsidR="00C77DED" w:rsidRDefault="00C77DED" w:rsidP="00C77DED">
      <w:pPr>
        <w:pStyle w:val="NormalWeb"/>
      </w:pPr>
      <w:r>
        <w:t xml:space="preserve">A nivel de gastos administrativos, se destinó un total de $144 millones, correspondientes a </w:t>
      </w:r>
      <w:r>
        <w:rPr>
          <w:rStyle w:val="Textoennegrita"/>
        </w:rPr>
        <w:t>honorarios profesionales</w:t>
      </w:r>
      <w:r>
        <w:t xml:space="preserve">, </w:t>
      </w:r>
      <w:r>
        <w:rPr>
          <w:rStyle w:val="Textoennegrita"/>
        </w:rPr>
        <w:t>sueldos</w:t>
      </w:r>
      <w:r>
        <w:t xml:space="preserve">, </w:t>
      </w:r>
      <w:r>
        <w:rPr>
          <w:rStyle w:val="Textoennegrita"/>
        </w:rPr>
        <w:t>arriendos</w:t>
      </w:r>
      <w:r>
        <w:t xml:space="preserve"> y otros servicios esenciales para la gestión de la empresa.</w:t>
      </w:r>
    </w:p>
    <w:p w:rsidR="00C77DED" w:rsidRDefault="00C77DED" w:rsidP="00C77DED">
      <w:pPr>
        <w:pStyle w:val="NormalWeb"/>
      </w:pPr>
      <w:r>
        <w:lastRenderedPageBreak/>
        <w:t>Si bien se registró una pérdida contable de $153 millones, atribuible principalmente a los elevados costos propios del ciclo productivo de una obra audiovisual de gran escala, es importante mencionar que esta inversión responde a una estrategia de desarrollo y posicionamiento a largo plazo</w:t>
      </w:r>
      <w:r w:rsidR="007701C6">
        <w:t>, el cual tiene contemplado revertirse durante el año 2025 con las ventas de licencias y auspicios que la serie pueda generar, por ende se considera que la gestión ha sido controlada y eficiente en este ejercicio 2024.</w:t>
      </w:r>
    </w:p>
    <w:p w:rsidR="00C77DED" w:rsidRDefault="00C77DED" w:rsidP="00C77DED">
      <w:pPr>
        <w:pStyle w:val="NormalWeb"/>
      </w:pPr>
      <w:r>
        <w:t xml:space="preserve">El balance final muestra un activo total de $61 millones, con un pasivo circulante de $177 millones y un patrimonio negativo de $116 millones. Esta situación refleja la estructura financiera propia de empresas del rubro audiovisual, donde los retornos suelen materializarse en el </w:t>
      </w:r>
      <w:r w:rsidR="007701C6">
        <w:t>año siguiente de la producción de la obra</w:t>
      </w:r>
      <w:r>
        <w:t>, tras la comercialización de l</w:t>
      </w:r>
      <w:r w:rsidR="007701C6">
        <w:t>a misma</w:t>
      </w:r>
      <w:r>
        <w:t>.</w:t>
      </w:r>
    </w:p>
    <w:p w:rsidR="00C77DED" w:rsidRDefault="00C77DED" w:rsidP="00C77DED">
      <w:pPr>
        <w:pStyle w:val="NormalWeb"/>
      </w:pPr>
      <w:r>
        <w:t xml:space="preserve">Durante el año también se generaron </w:t>
      </w:r>
      <w:r>
        <w:rPr>
          <w:rStyle w:val="Textoennegrita"/>
        </w:rPr>
        <w:t>ingresos financieros</w:t>
      </w:r>
      <w:r>
        <w:t xml:space="preserve"> y ajustes positivos por </w:t>
      </w:r>
      <w:r>
        <w:rPr>
          <w:rStyle w:val="Textoennegrita"/>
        </w:rPr>
        <w:t>revalorización de inversiones</w:t>
      </w:r>
      <w:r>
        <w:t>, lo que refleja una gestión activa y responsable de los fondos disponibles.</w:t>
      </w:r>
    </w:p>
    <w:p w:rsidR="00C77DED" w:rsidRDefault="00C77DED" w:rsidP="00C77DED">
      <w:pPr>
        <w:pStyle w:val="NormalWeb"/>
      </w:pPr>
      <w:r>
        <w:t>Como directorio, reafirmamos nuestro compromiso con el desarrollo de contenidos de alta calidad, la búsqueda de nuevas oportunidades comerciales y el fortalecimiento de nuestras capacidades internas para asegurar la sostenibilidad futura de la empresa.</w:t>
      </w:r>
    </w:p>
    <w:p w:rsidR="00C34016" w:rsidRDefault="00C34016" w:rsidP="00C77DED">
      <w:pPr>
        <w:spacing w:before="100" w:beforeAutospacing="1" w:after="100" w:afterAutospacing="1"/>
      </w:pPr>
    </w:p>
    <w:sectPr w:rsidR="00C34016" w:rsidSect="00130D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B365E"/>
    <w:multiLevelType w:val="multilevel"/>
    <w:tmpl w:val="D502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C1A8F"/>
    <w:multiLevelType w:val="multilevel"/>
    <w:tmpl w:val="236C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61118"/>
    <w:multiLevelType w:val="multilevel"/>
    <w:tmpl w:val="0FE4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81C20"/>
    <w:multiLevelType w:val="multilevel"/>
    <w:tmpl w:val="6C3C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A0910"/>
    <w:multiLevelType w:val="multilevel"/>
    <w:tmpl w:val="C5EA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378544">
    <w:abstractNumId w:val="2"/>
  </w:num>
  <w:num w:numId="2" w16cid:durableId="1468819609">
    <w:abstractNumId w:val="3"/>
  </w:num>
  <w:num w:numId="3" w16cid:durableId="259332925">
    <w:abstractNumId w:val="1"/>
  </w:num>
  <w:num w:numId="4" w16cid:durableId="540485484">
    <w:abstractNumId w:val="4"/>
  </w:num>
  <w:num w:numId="5" w16cid:durableId="8619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47"/>
    <w:rsid w:val="00130D5C"/>
    <w:rsid w:val="001731D9"/>
    <w:rsid w:val="0029600E"/>
    <w:rsid w:val="007701C6"/>
    <w:rsid w:val="00B645B6"/>
    <w:rsid w:val="00B80247"/>
    <w:rsid w:val="00C34016"/>
    <w:rsid w:val="00C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4523"/>
  <w15:chartTrackingRefBased/>
  <w15:docId w15:val="{BC99BF72-E842-E245-AB18-828B84A0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802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B802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5">
    <w:name w:val="heading 5"/>
    <w:basedOn w:val="Normal"/>
    <w:link w:val="Ttulo5Car"/>
    <w:uiPriority w:val="9"/>
    <w:qFormat/>
    <w:rsid w:val="00B8024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tulo6">
    <w:name w:val="heading 6"/>
    <w:basedOn w:val="Normal"/>
    <w:link w:val="Ttulo6Car"/>
    <w:uiPriority w:val="9"/>
    <w:qFormat/>
    <w:rsid w:val="00B80247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8024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B80247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B80247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rsid w:val="00B80247"/>
    <w:rPr>
      <w:rFonts w:ascii="Times New Roman" w:eastAsia="Times New Roman" w:hAnsi="Times New Roman" w:cs="Times New Roman"/>
      <w:b/>
      <w:bCs/>
      <w:sz w:val="15"/>
      <w:szCs w:val="15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802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80247"/>
    <w:rPr>
      <w:b/>
      <w:bCs/>
    </w:rPr>
  </w:style>
  <w:style w:type="character" w:styleId="nfasis">
    <w:name w:val="Emphasis"/>
    <w:basedOn w:val="Fuentedeprrafopredeter"/>
    <w:uiPriority w:val="20"/>
    <w:qFormat/>
    <w:rsid w:val="00C77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2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0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0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6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8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2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22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2025-06-19T21:04:00Z</dcterms:created>
  <dcterms:modified xsi:type="dcterms:W3CDTF">2025-07-03T01:05:00Z</dcterms:modified>
</cp:coreProperties>
</file>